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OFICIO N° 030274</w:t>
      </w:r>
    </w:p>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19-05-2014</w:t>
      </w:r>
    </w:p>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DIAN</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Subdirección de Gestión Normativa y Doctrina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Bogotá, D. C.</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100208221-000388</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Señora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b/>
          <w:bCs/>
          <w:szCs w:val="24"/>
          <w:lang w:eastAsia="es-CO"/>
        </w:rPr>
        <w:t>DIANA ALEXANDRA OROZCO LÓPEZ</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Carrera 10 A No. 66 A - 23 Barrio la Sultana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Manizales</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proofErr w:type="spellStart"/>
      <w:r w:rsidRPr="00DE3CCD">
        <w:rPr>
          <w:rFonts w:ascii="Segoe UI" w:eastAsia="Times New Roman" w:hAnsi="Segoe UI" w:cs="Segoe UI"/>
          <w:b/>
          <w:szCs w:val="24"/>
          <w:lang w:eastAsia="es-CO"/>
        </w:rPr>
        <w:t>Ref</w:t>
      </w:r>
      <w:proofErr w:type="spellEnd"/>
      <w:r w:rsidRPr="00DE3CCD">
        <w:rPr>
          <w:rFonts w:ascii="Segoe UI" w:eastAsia="Times New Roman" w:hAnsi="Segoe UI" w:cs="Segoe UI"/>
          <w:b/>
          <w:szCs w:val="24"/>
          <w:lang w:eastAsia="es-CO"/>
        </w:rPr>
        <w:t>:</w:t>
      </w:r>
      <w:r w:rsidRPr="00DE3CCD">
        <w:rPr>
          <w:rFonts w:ascii="Segoe UI" w:eastAsia="Times New Roman" w:hAnsi="Segoe UI" w:cs="Segoe UI"/>
          <w:szCs w:val="24"/>
          <w:lang w:eastAsia="es-CO"/>
        </w:rPr>
        <w:t xml:space="preserve"> Radicado 100012017 del 21/11/2013</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Tema</w:t>
      </w:r>
      <w:r w:rsidRPr="00DE3CCD">
        <w:rPr>
          <w:rFonts w:ascii="Segoe UI" w:eastAsia="Times New Roman" w:hAnsi="Segoe UI" w:cs="Segoe UI"/>
          <w:szCs w:val="24"/>
          <w:lang w:eastAsia="es-CO"/>
        </w:rPr>
        <w:t xml:space="preserve"> Impuesto sobre la renta y complementarios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Descriptores</w:t>
      </w:r>
      <w:r w:rsidRPr="00DE3CCD">
        <w:rPr>
          <w:rFonts w:ascii="Segoe UI" w:eastAsia="Times New Roman" w:hAnsi="Segoe UI" w:cs="Segoe UI"/>
          <w:szCs w:val="24"/>
          <w:lang w:eastAsia="es-CO"/>
        </w:rPr>
        <w:t xml:space="preserve"> Abuso en materia tributaria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Deducción por dependientes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Ganancias ocasionales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Impuesto Mínimo Alternativo Simple - IMÁN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Renta Gravable Alternativa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Retención en la fuente por otros ingresos tributarios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Fuentes Formales</w:t>
      </w:r>
      <w:r w:rsidRPr="00DE3CCD">
        <w:rPr>
          <w:rFonts w:ascii="Segoe UI" w:eastAsia="Times New Roman" w:hAnsi="Segoe UI" w:cs="Segoe UI"/>
          <w:szCs w:val="24"/>
          <w:lang w:eastAsia="es-CO"/>
        </w:rPr>
        <w:t xml:space="preserve"> Estatuto Tributario, arts. </w:t>
      </w:r>
      <w:hyperlink r:id="rId5" w:tooltip="Estatuto Tributario CETA" w:history="1">
        <w:r w:rsidRPr="00DE3CCD">
          <w:rPr>
            <w:rFonts w:ascii="Segoe UI" w:eastAsia="Times New Roman" w:hAnsi="Segoe UI" w:cs="Segoe UI"/>
            <w:color w:val="0000FF"/>
            <w:szCs w:val="24"/>
            <w:u w:val="single"/>
            <w:lang w:eastAsia="es-CO"/>
          </w:rPr>
          <w:t>302</w:t>
        </w:r>
      </w:hyperlink>
      <w:r w:rsidRPr="00DE3CCD">
        <w:rPr>
          <w:rFonts w:ascii="Segoe UI" w:eastAsia="Times New Roman" w:hAnsi="Segoe UI" w:cs="Segoe UI"/>
          <w:szCs w:val="24"/>
          <w:lang w:eastAsia="es-CO"/>
        </w:rPr>
        <w:t xml:space="preserve">, </w:t>
      </w:r>
      <w:hyperlink r:id="rId6" w:tooltip="Estatuto Tributario CETA" w:history="1">
        <w:r w:rsidRPr="00DE3CCD">
          <w:rPr>
            <w:rFonts w:ascii="Segoe UI" w:eastAsia="Times New Roman" w:hAnsi="Segoe UI" w:cs="Segoe UI"/>
            <w:color w:val="0000FF"/>
            <w:szCs w:val="24"/>
            <w:u w:val="single"/>
            <w:lang w:eastAsia="es-CO"/>
          </w:rPr>
          <w:t>303</w:t>
        </w:r>
      </w:hyperlink>
      <w:r w:rsidRPr="00DE3CCD">
        <w:rPr>
          <w:rFonts w:ascii="Segoe UI" w:eastAsia="Times New Roman" w:hAnsi="Segoe UI" w:cs="Segoe UI"/>
          <w:szCs w:val="24"/>
          <w:lang w:eastAsia="es-CO"/>
        </w:rPr>
        <w:t xml:space="preserve">, </w:t>
      </w:r>
      <w:hyperlink r:id="rId7" w:tooltip="Estatuto Tributario CETA" w:history="1">
        <w:r w:rsidRPr="00DE3CCD">
          <w:rPr>
            <w:rFonts w:ascii="Segoe UI" w:eastAsia="Times New Roman" w:hAnsi="Segoe UI" w:cs="Segoe UI"/>
            <w:color w:val="0000FF"/>
            <w:szCs w:val="24"/>
            <w:u w:val="single"/>
            <w:lang w:eastAsia="es-CO"/>
          </w:rPr>
          <w:t>330</w:t>
        </w:r>
      </w:hyperlink>
      <w:r w:rsidRPr="00DE3CCD">
        <w:rPr>
          <w:rFonts w:ascii="Segoe UI" w:eastAsia="Times New Roman" w:hAnsi="Segoe UI" w:cs="Segoe UI"/>
          <w:szCs w:val="24"/>
          <w:lang w:eastAsia="es-CO"/>
        </w:rPr>
        <w:t xml:space="preserve">, </w:t>
      </w:r>
      <w:hyperlink r:id="rId8" w:tooltip="Estatuto Tributario CETA" w:history="1">
        <w:r w:rsidRPr="00DE3CCD">
          <w:rPr>
            <w:rFonts w:ascii="Segoe UI" w:eastAsia="Times New Roman" w:hAnsi="Segoe UI" w:cs="Segoe UI"/>
            <w:color w:val="0000FF"/>
            <w:szCs w:val="24"/>
            <w:u w:val="single"/>
            <w:lang w:eastAsia="es-CO"/>
          </w:rPr>
          <w:t>332</w:t>
        </w:r>
      </w:hyperlink>
      <w:r w:rsidRPr="00DE3CCD">
        <w:rPr>
          <w:rFonts w:ascii="Segoe UI" w:eastAsia="Times New Roman" w:hAnsi="Segoe UI" w:cs="Segoe UI"/>
          <w:szCs w:val="24"/>
          <w:lang w:eastAsia="es-CO"/>
        </w:rPr>
        <w:t xml:space="preserve">, </w:t>
      </w:r>
      <w:hyperlink r:id="rId9" w:tooltip="Estatuto Tributario CETA" w:history="1">
        <w:r w:rsidRPr="00DE3CCD">
          <w:rPr>
            <w:rFonts w:ascii="Segoe UI" w:eastAsia="Times New Roman" w:hAnsi="Segoe UI" w:cs="Segoe UI"/>
            <w:color w:val="0000FF"/>
            <w:szCs w:val="24"/>
            <w:u w:val="single"/>
            <w:lang w:eastAsia="es-CO"/>
          </w:rPr>
          <w:t>387</w:t>
        </w:r>
      </w:hyperlink>
      <w:r w:rsidRPr="00DE3CCD">
        <w:rPr>
          <w:rFonts w:ascii="Segoe UI" w:eastAsia="Times New Roman" w:hAnsi="Segoe UI" w:cs="Segoe UI"/>
          <w:szCs w:val="24"/>
          <w:lang w:eastAsia="es-CO"/>
        </w:rPr>
        <w:t xml:space="preserve">, </w:t>
      </w:r>
      <w:hyperlink r:id="rId10" w:tooltip="Estatuto Tributario CETA" w:history="1">
        <w:r w:rsidRPr="00DE3CCD">
          <w:rPr>
            <w:rFonts w:ascii="Segoe UI" w:eastAsia="Times New Roman" w:hAnsi="Segoe UI" w:cs="Segoe UI"/>
            <w:color w:val="0000FF"/>
            <w:szCs w:val="24"/>
            <w:u w:val="single"/>
            <w:lang w:eastAsia="es-CO"/>
          </w:rPr>
          <w:t>401</w:t>
        </w:r>
      </w:hyperlink>
      <w:r w:rsidRPr="00DE3CCD">
        <w:rPr>
          <w:rFonts w:ascii="Segoe UI" w:eastAsia="Times New Roman" w:hAnsi="Segoe UI" w:cs="Segoe UI"/>
          <w:szCs w:val="24"/>
          <w:lang w:eastAsia="es-CO"/>
        </w:rPr>
        <w:t xml:space="preserve">, </w:t>
      </w:r>
      <w:hyperlink r:id="rId11" w:tooltip="Estatuto Tributario CETA" w:history="1">
        <w:r w:rsidRPr="00DE3CCD">
          <w:rPr>
            <w:rFonts w:ascii="Segoe UI" w:eastAsia="Times New Roman" w:hAnsi="Segoe UI" w:cs="Segoe UI"/>
            <w:color w:val="0000FF"/>
            <w:szCs w:val="24"/>
            <w:u w:val="single"/>
            <w:lang w:eastAsia="es-CO"/>
          </w:rPr>
          <w:t>869</w:t>
        </w:r>
      </w:hyperlink>
      <w:r w:rsidRPr="00DE3CCD">
        <w:rPr>
          <w:rFonts w:ascii="Segoe UI" w:eastAsia="Times New Roman" w:hAnsi="Segoe UI" w:cs="Segoe UI"/>
          <w:szCs w:val="24"/>
          <w:lang w:eastAsia="es-CO"/>
        </w:rPr>
        <w:t xml:space="preserve">, </w:t>
      </w:r>
      <w:hyperlink r:id="rId12" w:tooltip="Estatuto Tributario CETA" w:history="1">
        <w:r w:rsidRPr="00DE3CCD">
          <w:rPr>
            <w:rFonts w:ascii="Segoe UI" w:eastAsia="Times New Roman" w:hAnsi="Segoe UI" w:cs="Segoe UI"/>
            <w:color w:val="0000FF"/>
            <w:szCs w:val="24"/>
            <w:u w:val="single"/>
            <w:lang w:eastAsia="es-CO"/>
          </w:rPr>
          <w:t>869-1</w:t>
        </w:r>
      </w:hyperlink>
      <w:r w:rsidRPr="00DE3CCD">
        <w:rPr>
          <w:rFonts w:ascii="Segoe UI" w:eastAsia="Times New Roman" w:hAnsi="Segoe UI" w:cs="Segoe UI"/>
          <w:szCs w:val="24"/>
          <w:lang w:eastAsia="es-CO"/>
        </w:rPr>
        <w:t xml:space="preserve"> y </w:t>
      </w:r>
      <w:hyperlink r:id="rId13" w:tooltip="Estatuto Tributario CETA" w:history="1">
        <w:r w:rsidRPr="00DE3CCD">
          <w:rPr>
            <w:rFonts w:ascii="Segoe UI" w:eastAsia="Times New Roman" w:hAnsi="Segoe UI" w:cs="Segoe UI"/>
            <w:color w:val="0000FF"/>
            <w:szCs w:val="24"/>
            <w:u w:val="single"/>
            <w:lang w:eastAsia="es-CO"/>
          </w:rPr>
          <w:t>869-2</w:t>
        </w:r>
      </w:hyperlink>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260 de 2001, art. 4°</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0099 de 2013, art. 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Decreto Reglamentario 1070 de 2013, art. </w:t>
      </w:r>
      <w:r w:rsidRPr="00DE3CCD">
        <w:rPr>
          <w:rFonts w:ascii="Segoe UI" w:eastAsia="Times New Roman" w:hAnsi="Segoe UI" w:cs="Segoe UI"/>
          <w:iCs/>
          <w:szCs w:val="24"/>
          <w:lang w:eastAsia="es-CO"/>
        </w:rPr>
        <w:t>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2418 de 2013, art. 1°</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Cordial saludo, señora Diana Alexandra: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la solicitud de la referencia remitida por la División de Gestión de Asistencia al Cliente de la Dirección Seccional de Impuestos y Aduanas de Manizales, formula numerosos interrogantes, los cuales procedemos a responder en el mismo orden en que fueron planteados.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1</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la determinación de la Renta Gravable Alternativa por el Sistema IMÁN se deben tener en cuenta los factores señalados en el artículo 2° del Decreto 1070 de 2013, para establecer la retención en la fuente en la categoría de empleados?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El artículo 2° del Decreto Reglamentario 1070 de 2013,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"Artículo 2°. Depuración de la base del cálculo de la retención en la fuente. </w:t>
      </w:r>
      <w:r w:rsidRPr="00DE3CCD">
        <w:rPr>
          <w:rFonts w:ascii="Segoe UI" w:eastAsia="Times New Roman" w:hAnsi="Segoe UI" w:cs="Segoe UI"/>
          <w:i/>
          <w:iCs/>
          <w:szCs w:val="24"/>
          <w:lang w:eastAsia="es-CO"/>
        </w:rPr>
        <w:t xml:space="preserve">Para obtener la base de retención en la fuente sobre los pagos o abonos en cuenta por concepto de rentas de </w:t>
      </w:r>
      <w:r w:rsidRPr="00DE3CCD">
        <w:rPr>
          <w:rFonts w:ascii="Segoe UI" w:eastAsia="Times New Roman" w:hAnsi="Segoe UI" w:cs="Segoe UI"/>
          <w:bCs/>
          <w:i/>
          <w:iCs/>
          <w:szCs w:val="24"/>
          <w:u w:val="single"/>
          <w:lang w:eastAsia="es-CO"/>
        </w:rPr>
        <w:t>trabajo efectuados a las personas naturales pertenecientes a la categoría de empleados, se podrán detraer los siguientes factores: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1. Los ingresos que la ley de manera taxativa prevé como no constitutivos de renta ni ganancia ocasional.</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2. </w:t>
      </w:r>
      <w:r w:rsidRPr="00DE3CCD">
        <w:rPr>
          <w:rFonts w:ascii="Segoe UI" w:eastAsia="Times New Roman" w:hAnsi="Segoe UI" w:cs="Segoe UI"/>
          <w:i/>
          <w:iCs/>
          <w:szCs w:val="24"/>
          <w:u w:val="single"/>
          <w:lang w:eastAsia="es-CO"/>
        </w:rPr>
        <w:t>Las deducciones a que se refiere el artículo 387 del Estatuto Tributario, reglamentado por el artículo 2° del Decreto número 0099 de 2013.</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3. Los aportes obligatorios al Sistema General de Seguridad Social en Salud.</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4. Las rentas que la ley de manera taxativa prevé como exentas en razón a su origen y beneficiario. Lo previsto en el numeral 10 del </w:t>
      </w:r>
      <w:hyperlink r:id="rId14" w:tooltip="Estatuto Tributario CETA" w:history="1">
        <w:r w:rsidRPr="00DE3CCD">
          <w:rPr>
            <w:rFonts w:ascii="Segoe UI" w:eastAsia="Times New Roman" w:hAnsi="Segoe UI" w:cs="Segoe UI"/>
            <w:i/>
            <w:iCs/>
            <w:color w:val="0000FF"/>
            <w:szCs w:val="24"/>
            <w:u w:val="single"/>
            <w:lang w:eastAsia="es-CO"/>
          </w:rPr>
          <w:t>artículo 206</w:t>
        </w:r>
      </w:hyperlink>
      <w:r w:rsidRPr="00DE3CCD">
        <w:rPr>
          <w:rFonts w:ascii="Segoe UI" w:eastAsia="Times New Roman" w:hAnsi="Segoe UI" w:cs="Segoe UI"/>
          <w:i/>
          <w:iCs/>
          <w:szCs w:val="24"/>
          <w:lang w:eastAsia="es-CO"/>
        </w:rPr>
        <w:t xml:space="preserve"> del Estatuto Tributario procede también para las personas naturales clasificadas en la categoría de empleados cuyos pagos o abonos en cuenta no provengan de una relación laboral, o legal y reglamentaria, de conformidad con lo previsto en el inciso 1° del </w:t>
      </w:r>
      <w:hyperlink r:id="rId15" w:tooltip="Estatuto Tributario CETA" w:history="1">
        <w:r w:rsidRPr="00DE3CCD">
          <w:rPr>
            <w:rFonts w:ascii="Segoe UI" w:eastAsia="Times New Roman" w:hAnsi="Segoe UI" w:cs="Segoe UI"/>
            <w:i/>
            <w:iCs/>
            <w:color w:val="0000FF"/>
            <w:szCs w:val="24"/>
            <w:u w:val="single"/>
            <w:lang w:eastAsia="es-CO"/>
          </w:rPr>
          <w:t>artículo 383</w:t>
        </w:r>
      </w:hyperlink>
      <w:r w:rsidRPr="00DE3CCD">
        <w:rPr>
          <w:rFonts w:ascii="Segoe UI" w:eastAsia="Times New Roman" w:hAnsi="Segoe UI" w:cs="Segoe UI"/>
          <w:i/>
          <w:iCs/>
          <w:szCs w:val="24"/>
          <w:lang w:eastAsia="es-CO"/>
        </w:rPr>
        <w:t xml:space="preserve"> del Estatuto Tributario.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Por su parte, el </w:t>
      </w:r>
      <w:hyperlink r:id="rId16" w:tooltip="Estatuto Tributario CETA" w:history="1">
        <w:r w:rsidRPr="00DE3CCD">
          <w:rPr>
            <w:rFonts w:ascii="Segoe UI" w:eastAsia="Times New Roman" w:hAnsi="Segoe UI" w:cs="Segoe UI"/>
            <w:color w:val="0000FF"/>
            <w:szCs w:val="24"/>
            <w:u w:val="single"/>
            <w:lang w:eastAsia="es-CO"/>
          </w:rPr>
          <w:t>artículo 387</w:t>
        </w:r>
      </w:hyperlink>
      <w:r w:rsidRPr="00DE3CCD">
        <w:rPr>
          <w:rFonts w:ascii="Segoe UI" w:eastAsia="Times New Roman" w:hAnsi="Segoe UI" w:cs="Segoe UI"/>
          <w:szCs w:val="24"/>
          <w:lang w:eastAsia="es-CO"/>
        </w:rPr>
        <w:t xml:space="preserve"> del Estatuto Tributario,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17" w:tooltip="Estatuto Tributario CETA" w:history="1">
        <w:r w:rsidRPr="00DE3CCD">
          <w:rPr>
            <w:rFonts w:ascii="Segoe UI" w:eastAsia="Times New Roman" w:hAnsi="Segoe UI" w:cs="Segoe UI"/>
            <w:b/>
            <w:bCs/>
            <w:i/>
            <w:iCs/>
            <w:color w:val="0000FF"/>
            <w:szCs w:val="24"/>
            <w:u w:val="single"/>
            <w:lang w:eastAsia="es-CO"/>
          </w:rPr>
          <w:t>Artículo 387</w:t>
        </w:r>
      </w:hyperlink>
      <w:r w:rsidRPr="00DE3CCD">
        <w:rPr>
          <w:rFonts w:ascii="Segoe UI" w:eastAsia="Times New Roman" w:hAnsi="Segoe UI" w:cs="Segoe UI"/>
          <w:b/>
          <w:bCs/>
          <w:i/>
          <w:iCs/>
          <w:szCs w:val="24"/>
          <w:lang w:eastAsia="es-CO"/>
        </w:rPr>
        <w:t xml:space="preserve"> . Deducciones que se restarán de la base de retención. </w:t>
      </w:r>
      <w:r w:rsidRPr="00DE3CCD">
        <w:rPr>
          <w:rFonts w:ascii="Segoe UI" w:eastAsia="Times New Roman" w:hAnsi="Segoe UI" w:cs="Segoe UI"/>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r w:rsidRPr="00DE3CCD">
        <w:rPr>
          <w:rFonts w:ascii="Segoe UI" w:eastAsia="Times New Roman" w:hAnsi="Segoe UI" w:cs="Segoe UI"/>
          <w:i/>
          <w:iCs/>
          <w:szCs w:val="24"/>
          <w:u w:val="single"/>
          <w:lang w:eastAsia="es-CO"/>
        </w:rPr>
        <w:t>Las deducciones establecidas en este artículo se tendrán en cuenta en la declaración ordinaria del Impuesto sobre la Renta</w:t>
      </w: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Por su parte los artículos </w:t>
      </w:r>
      <w:hyperlink r:id="rId18" w:tooltip="Estatuto Tributario CETA" w:history="1">
        <w:r w:rsidRPr="00DE3CCD">
          <w:rPr>
            <w:rFonts w:ascii="Segoe UI" w:eastAsia="Times New Roman" w:hAnsi="Segoe UI" w:cs="Segoe UI"/>
            <w:color w:val="0000FF"/>
            <w:szCs w:val="24"/>
            <w:u w:val="single"/>
            <w:lang w:eastAsia="es-CO"/>
          </w:rPr>
          <w:t xml:space="preserve">330 </w:t>
        </w:r>
      </w:hyperlink>
      <w:r w:rsidRPr="00DE3CCD">
        <w:rPr>
          <w:rFonts w:ascii="Segoe UI" w:eastAsia="Times New Roman" w:hAnsi="Segoe UI" w:cs="Segoe UI"/>
          <w:szCs w:val="24"/>
          <w:lang w:eastAsia="es-CO"/>
        </w:rPr>
        <w:t xml:space="preserve">y </w:t>
      </w:r>
      <w:hyperlink r:id="rId19" w:tooltip="Estatuto Tributario CETA" w:history="1">
        <w:r w:rsidRPr="00DE3CCD">
          <w:rPr>
            <w:rFonts w:ascii="Segoe UI" w:eastAsia="Times New Roman" w:hAnsi="Segoe UI" w:cs="Segoe UI"/>
            <w:color w:val="0000FF"/>
            <w:szCs w:val="24"/>
            <w:u w:val="single"/>
            <w:lang w:eastAsia="es-CO"/>
          </w:rPr>
          <w:t xml:space="preserve">332 </w:t>
        </w:r>
      </w:hyperlink>
      <w:r w:rsidRPr="00DE3CCD">
        <w:rPr>
          <w:rFonts w:ascii="Segoe UI" w:eastAsia="Times New Roman" w:hAnsi="Segoe UI" w:cs="Segoe UI"/>
          <w:szCs w:val="24"/>
          <w:lang w:eastAsia="es-CO"/>
        </w:rPr>
        <w:t>del Estatuto Tributario, disponen expresamente: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20" w:tooltip="Estatuto Tributario CETA" w:history="1">
        <w:r w:rsidRPr="00DE3CCD">
          <w:rPr>
            <w:rFonts w:ascii="Segoe UI" w:eastAsia="Times New Roman" w:hAnsi="Segoe UI" w:cs="Segoe UI"/>
            <w:b/>
            <w:bCs/>
            <w:i/>
            <w:iCs/>
            <w:color w:val="0000FF"/>
            <w:szCs w:val="24"/>
            <w:u w:val="single"/>
            <w:lang w:eastAsia="es-CO"/>
          </w:rPr>
          <w:t>Art. 330</w:t>
        </w:r>
      </w:hyperlink>
      <w:r w:rsidRPr="00DE3CCD">
        <w:rPr>
          <w:rFonts w:ascii="Segoe UI" w:eastAsia="Times New Roman" w:hAnsi="Segoe UI" w:cs="Segoe UI"/>
          <w:b/>
          <w:bCs/>
          <w:i/>
          <w:iCs/>
          <w:szCs w:val="24"/>
          <w:lang w:eastAsia="es-CO"/>
        </w:rPr>
        <w:t xml:space="preserve"> . Sistemas de determinación del impuesto sobre la renta y complementarios para personas naturales empleados.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lastRenderedPageBreak/>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Parágrafo 1. </w:t>
      </w:r>
      <w:r w:rsidRPr="00DE3CCD">
        <w:rPr>
          <w:rFonts w:ascii="Segoe UI" w:eastAsia="Times New Roman" w:hAnsi="Segoe UI" w:cs="Segoe UI"/>
          <w:i/>
          <w:iCs/>
          <w:szCs w:val="24"/>
          <w:u w:val="single"/>
          <w:lang w:eastAsia="es-CO"/>
        </w:rPr>
        <w:t>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21" w:tooltip="Estatuto Tributario CETA" w:history="1">
        <w:r w:rsidRPr="00DE3CCD">
          <w:rPr>
            <w:rFonts w:ascii="Segoe UI" w:eastAsia="Times New Roman" w:hAnsi="Segoe UI" w:cs="Segoe UI"/>
            <w:b/>
            <w:bCs/>
            <w:i/>
            <w:iCs/>
            <w:color w:val="0000FF"/>
            <w:szCs w:val="24"/>
            <w:u w:val="single"/>
            <w:lang w:eastAsia="es-CO"/>
          </w:rPr>
          <w:t>Artículo 332</w:t>
        </w:r>
      </w:hyperlink>
      <w:r w:rsidRPr="00DE3CCD">
        <w:rPr>
          <w:rFonts w:ascii="Segoe UI" w:eastAsia="Times New Roman" w:hAnsi="Segoe UI" w:cs="Segoe UI"/>
          <w:b/>
          <w:bCs/>
          <w:i/>
          <w:iCs/>
          <w:szCs w:val="24"/>
          <w:lang w:eastAsia="es-CO"/>
        </w:rPr>
        <w:t xml:space="preserve"> . Determinación de la renta gravable alternativa. </w:t>
      </w:r>
      <w:r w:rsidRPr="00DE3CCD">
        <w:rPr>
          <w:rFonts w:ascii="Segoe UI" w:eastAsia="Times New Roman" w:hAnsi="Segoe UI" w:cs="Segoe UI"/>
          <w:i/>
          <w:iCs/>
          <w:szCs w:val="24"/>
          <w:u w:val="single"/>
          <w:lang w:eastAsia="es-CO"/>
        </w:rPr>
        <w:t>De la suma total de los ingresos obtenidos en el respectivo periodo gravable se podrán restar únicamente los conceptos relacionados a continuación, y el resultado que se obtenga constituye la Renta Gravable Alternativa: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a) Los dividendos y participaciones no gravados en cabeza del socio o accionista de conformidad con lo previsto en los artículos </w:t>
      </w:r>
      <w:hyperlink r:id="rId22" w:tooltip="Estatuto Tributario CETA" w:history="1">
        <w:r w:rsidRPr="00DE3CCD">
          <w:rPr>
            <w:rFonts w:ascii="Segoe UI" w:eastAsia="Times New Roman" w:hAnsi="Segoe UI" w:cs="Segoe UI"/>
            <w:i/>
            <w:iCs/>
            <w:color w:val="0000FF"/>
            <w:szCs w:val="24"/>
            <w:u w:val="single"/>
            <w:lang w:eastAsia="es-CO"/>
          </w:rPr>
          <w:t xml:space="preserve">48 </w:t>
        </w:r>
      </w:hyperlink>
      <w:r w:rsidRPr="00DE3CCD">
        <w:rPr>
          <w:rFonts w:ascii="Segoe UI" w:eastAsia="Times New Roman" w:hAnsi="Segoe UI" w:cs="Segoe UI"/>
          <w:i/>
          <w:iCs/>
          <w:szCs w:val="24"/>
          <w:lang w:eastAsia="es-CO"/>
        </w:rPr>
        <w:t xml:space="preserve">y </w:t>
      </w:r>
      <w:hyperlink r:id="rId23" w:tooltip="Estatuto Tributario CETA" w:history="1">
        <w:r w:rsidRPr="00DE3CCD">
          <w:rPr>
            <w:rFonts w:ascii="Segoe UI" w:eastAsia="Times New Roman" w:hAnsi="Segoe UI" w:cs="Segoe UI"/>
            <w:i/>
            <w:iCs/>
            <w:color w:val="0000FF"/>
            <w:szCs w:val="24"/>
            <w:u w:val="single"/>
            <w:lang w:eastAsia="es-CO"/>
          </w:rPr>
          <w:t xml:space="preserve">49 </w:t>
        </w:r>
      </w:hyperlink>
      <w:r w:rsidRPr="00DE3CCD">
        <w:rPr>
          <w:rFonts w:ascii="Segoe UI" w:eastAsia="Times New Roman" w:hAnsi="Segoe UI" w:cs="Segoe UI"/>
          <w:i/>
          <w:iCs/>
          <w:szCs w:val="24"/>
          <w:lang w:eastAsia="es-CO"/>
        </w:rPr>
        <w:t>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b) El valor de las indemnizaciones en dinero o en especie que se reciban en virtud de seguros de daño en la parte correspondiente al daño emergente, de conformidad con el artículo </w:t>
      </w:r>
      <w:hyperlink r:id="rId24" w:tooltip="Estatuto Tributario CETA" w:history="1">
        <w:r w:rsidRPr="00DE3CCD">
          <w:rPr>
            <w:rFonts w:ascii="Segoe UI" w:eastAsia="Times New Roman" w:hAnsi="Segoe UI" w:cs="Segoe UI"/>
            <w:i/>
            <w:iCs/>
            <w:color w:val="0000FF"/>
            <w:szCs w:val="24"/>
            <w:u w:val="single"/>
            <w:lang w:eastAsia="es-CO"/>
          </w:rPr>
          <w:t xml:space="preserve">45 </w:t>
        </w:r>
      </w:hyperlink>
      <w:r w:rsidRPr="00DE3CCD">
        <w:rPr>
          <w:rFonts w:ascii="Segoe UI" w:eastAsia="Times New Roman" w:hAnsi="Segoe UI" w:cs="Segoe UI"/>
          <w:i/>
          <w:iCs/>
          <w:szCs w:val="24"/>
          <w:lang w:eastAsia="es-CO"/>
        </w:rPr>
        <w:t>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c) Los aportes obligatorios al sistema general de seguridad social a cargo del empleado.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d) Los gastos de representación considerados como exentos de Impuesto sobre la Renta, según los requisitos y límites establecidos en el numeral 7 del </w:t>
      </w:r>
      <w:hyperlink r:id="rId25" w:tooltip="Estatuto Tributario CETA" w:history="1">
        <w:r w:rsidRPr="00DE3CCD">
          <w:rPr>
            <w:rFonts w:ascii="Segoe UI" w:eastAsia="Times New Roman" w:hAnsi="Segoe UI" w:cs="Segoe UI"/>
            <w:i/>
            <w:iCs/>
            <w:color w:val="0000FF"/>
            <w:szCs w:val="24"/>
            <w:u w:val="single"/>
            <w:lang w:eastAsia="es-CO"/>
          </w:rPr>
          <w:t>artículo 206</w:t>
        </w:r>
      </w:hyperlink>
      <w:r w:rsidRPr="00DE3CCD">
        <w:rPr>
          <w:rFonts w:ascii="Segoe UI" w:eastAsia="Times New Roman" w:hAnsi="Segoe UI" w:cs="Segoe UI"/>
          <w:i/>
          <w:iCs/>
          <w:szCs w:val="24"/>
          <w:lang w:eastAsia="es-CO"/>
        </w:rPr>
        <w:t xml:space="preserve"> 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DE3CCD">
        <w:rPr>
          <w:rFonts w:ascii="Segoe UI" w:eastAsia="Times New Roman" w:hAnsi="Segoe UI" w:cs="Segoe UI"/>
          <w:i/>
          <w:iCs/>
          <w:szCs w:val="24"/>
          <w:lang w:eastAsia="es-CO"/>
        </w:rPr>
        <w:t>prepagada</w:t>
      </w:r>
      <w:proofErr w:type="spellEnd"/>
      <w:r w:rsidRPr="00DE3CCD">
        <w:rPr>
          <w:rFonts w:ascii="Segoe UI" w:eastAsia="Times New Roman" w:hAnsi="Segoe UI" w:cs="Segoe UI"/>
          <w:i/>
          <w:iCs/>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El mismo tratamiento aplicará para pagos catastróficos en salud en el exterior, realizados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una entidad reconocida del sector salud, debidamente comprobados. El Gobierno Nacional reglamentará la materia.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f) El monto de las pérdidas sufridas en el año originadas en desastres o calamidades públicas, declaradas y en los términos establecidos por el Gobierno Nacional.</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g) Los aportes obligatorios al sistema de seguridad social cancelados durante el respectivo periodo gravable, sobre el salario pagado a un empleado o empleada del </w:t>
      </w:r>
      <w:r w:rsidRPr="00DE3CCD">
        <w:rPr>
          <w:rFonts w:ascii="Segoe UI" w:eastAsia="Times New Roman" w:hAnsi="Segoe UI" w:cs="Segoe UI"/>
          <w:i/>
          <w:iCs/>
          <w:szCs w:val="24"/>
          <w:lang w:eastAsia="es-CO"/>
        </w:rPr>
        <w:lastRenderedPageBreak/>
        <w:t>servicio doméstico. Los trabajadores del servicio doméstico que el contribuyente contrate a través de empresas de servicios temporales, no darán derecho al beneficio tributario a que se refiere este artículo.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h) El costo fiscal, determinado de acuerdo con las normas contenidas en el Capítulo II del Título I del Libro I de este Estatuto, de los bienes enajenados, siempre </w:t>
      </w:r>
      <w:r w:rsidRPr="00DE3CCD">
        <w:rPr>
          <w:rFonts w:ascii="Segoe UI" w:eastAsia="Times New Roman" w:hAnsi="Segoe UI" w:cs="Segoe UI"/>
          <w:szCs w:val="24"/>
          <w:lang w:eastAsia="es-CO"/>
        </w:rPr>
        <w:t xml:space="preserve">y </w:t>
      </w:r>
      <w:r w:rsidRPr="00DE3CCD">
        <w:rPr>
          <w:rFonts w:ascii="Segoe UI" w:eastAsia="Times New Roman" w:hAnsi="Segoe UI" w:cs="Segoe UI"/>
          <w:i/>
          <w:iCs/>
          <w:szCs w:val="24"/>
          <w:lang w:eastAsia="es-CO"/>
        </w:rPr>
        <w:t>cuando no formen parte del giro ordinario de los negocios.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j) Los retiros de los fondos de cesantías que efectúen los beneficiarios o partícipes sobre los aportes efectuados por los empleadores a título de cesantía de conformidad con lo dispuesto en el artículo </w:t>
      </w:r>
      <w:hyperlink r:id="rId26" w:tooltip="Estatuto Tributario CETA" w:history="1">
        <w:r w:rsidRPr="00DE3CCD">
          <w:rPr>
            <w:rFonts w:ascii="Segoe UI" w:eastAsia="Times New Roman" w:hAnsi="Segoe UI" w:cs="Segoe UI"/>
            <w:i/>
            <w:iCs/>
            <w:color w:val="0000FF"/>
            <w:szCs w:val="24"/>
            <w:u w:val="single"/>
            <w:lang w:eastAsia="es-CO"/>
          </w:rPr>
          <w:t>56-2</w:t>
        </w:r>
      </w:hyperlink>
      <w:r w:rsidRPr="00DE3CCD">
        <w:rPr>
          <w:rFonts w:ascii="Segoe UI" w:eastAsia="Times New Roman" w:hAnsi="Segoe UI" w:cs="Segoe UI"/>
          <w:i/>
          <w:iCs/>
          <w:szCs w:val="24"/>
          <w:lang w:eastAsia="es-CO"/>
        </w:rPr>
        <w:t xml:space="preserve"> del Estatuto Tributario. Estos retiros no podrán ser sujetos de retención en la fuente bajo ningún concepto del impuesto sobre la renta para los beneficiarios o partícipes."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En este orden de ideas, en la determinación de la Renta Gravable Alternativa por el Sistema IMAN, las personas naturales pertenecientes a la categoría tributaria de empleados solamente pueden restar los factores de depuración señalados en el </w:t>
      </w:r>
      <w:hyperlink r:id="rId27" w:tooltip="Estatuto Tributario CETA" w:history="1">
        <w:r w:rsidRPr="00DE3CCD">
          <w:rPr>
            <w:rFonts w:ascii="Segoe UI" w:eastAsia="Times New Roman" w:hAnsi="Segoe UI" w:cs="Segoe UI"/>
            <w:color w:val="0000FF"/>
            <w:szCs w:val="24"/>
            <w:u w:val="single"/>
            <w:lang w:eastAsia="es-CO"/>
          </w:rPr>
          <w:t>artículo 332</w:t>
        </w:r>
      </w:hyperlink>
      <w:r w:rsidRPr="00DE3CCD">
        <w:rPr>
          <w:rFonts w:ascii="Segoe UI" w:eastAsia="Times New Roman" w:hAnsi="Segoe UI" w:cs="Segoe UI"/>
          <w:szCs w:val="24"/>
          <w:lang w:eastAsia="es-CO"/>
        </w:rPr>
        <w:t xml:space="preserve"> del Estatuto Tributario.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Pregunta No. 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La deducción por dependientes se debe solicitar solo por los meses en que existió esa relación de dependencia</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28" w:tooltip="Estatuto Tributario CETA" w:history="1">
        <w:r w:rsidRPr="00DE3CCD">
          <w:rPr>
            <w:rFonts w:ascii="Segoe UI" w:eastAsia="Times New Roman" w:hAnsi="Segoe UI" w:cs="Segoe UI"/>
            <w:color w:val="0000FF"/>
            <w:szCs w:val="24"/>
            <w:u w:val="single"/>
            <w:lang w:eastAsia="es-CO"/>
          </w:rPr>
          <w:t>artículo 387</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w:t>
      </w:r>
      <w:hyperlink r:id="rId29" w:tooltip="Estatuto Tributario CETA" w:history="1">
        <w:r w:rsidRPr="00DE3CCD">
          <w:rPr>
            <w:rFonts w:ascii="Segoe UI" w:eastAsia="Times New Roman" w:hAnsi="Segoe UI" w:cs="Segoe UI"/>
            <w:b/>
            <w:i/>
            <w:iCs/>
            <w:color w:val="0000FF"/>
            <w:szCs w:val="24"/>
            <w:u w:val="single"/>
            <w:lang w:eastAsia="es-CO"/>
          </w:rPr>
          <w:t>Artículo 387</w:t>
        </w:r>
      </w:hyperlink>
      <w:r w:rsidRPr="00DE3CCD">
        <w:rPr>
          <w:rFonts w:ascii="Segoe UI" w:eastAsia="Times New Roman" w:hAnsi="Segoe UI" w:cs="Segoe UI"/>
          <w:b/>
          <w:i/>
          <w:iCs/>
          <w:szCs w:val="24"/>
          <w:lang w:eastAsia="es-CO"/>
        </w:rPr>
        <w:t xml:space="preserve"> . Deducciones que se restarán de la base de retención.</w:t>
      </w:r>
      <w:r w:rsidRPr="00DE3CCD">
        <w:rPr>
          <w:rFonts w:ascii="Segoe UI" w:eastAsia="Times New Roman" w:hAnsi="Segoe UI" w:cs="Segoe UI"/>
          <w:i/>
          <w:iCs/>
          <w:szCs w:val="24"/>
          <w:lang w:eastAsia="es-CO"/>
        </w:rPr>
        <w:t xml:space="preserve"> En el caso de trabajadores que tengan derecho a la deducción por intereses o corrección monetaria en virtud de préstamos para adquisición de vivienda, la base de retención se disminuirá proporcionalmente en la forma que indique el reglamento.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El trabajador podrá disminuir de su base de retención</w:t>
      </w:r>
      <w:r w:rsidRPr="00DE3CCD">
        <w:rPr>
          <w:rFonts w:ascii="Segoe UI" w:eastAsia="Times New Roman" w:hAnsi="Segoe UI" w:cs="Segoe UI"/>
          <w:i/>
          <w:iCs/>
          <w:szCs w:val="24"/>
          <w:lang w:eastAsia="es-CO"/>
        </w:rPr>
        <w:t xml:space="preserve"> lo dispuesto en el inciso anterior; los pagos por salud, siempre que el valor a disminuir mensualmente, en este último caso, no supere dieciséis (16) UVT mensuales; </w:t>
      </w:r>
      <w:r w:rsidRPr="00DE3CCD">
        <w:rPr>
          <w:rFonts w:ascii="Segoe UI" w:eastAsia="Times New Roman" w:hAnsi="Segoe UI" w:cs="Segoe UI"/>
          <w:i/>
          <w:iCs/>
          <w:szCs w:val="24"/>
          <w:u w:val="single"/>
          <w:lang w:eastAsia="es-CO"/>
        </w:rPr>
        <w:t>y una deducción mensual de hasta el 10% del total de los ingresos brutos provenientes de la relación laboral o legal y reglamentaria del respectivo mes por concepto de dependientes, hasta un máximo de treinta y dos (32) UVT mensuales.</w:t>
      </w:r>
      <w:r w:rsidRPr="00DE3CCD">
        <w:rPr>
          <w:rFonts w:ascii="Segoe UI" w:eastAsia="Times New Roman" w:hAnsi="Segoe UI" w:cs="Segoe UI"/>
          <w:i/>
          <w:iCs/>
          <w:szCs w:val="24"/>
          <w:lang w:eastAsia="es-CO"/>
        </w:rPr>
        <w:t xml:space="preserve"> Las deducciones establecidas en este artículo se tendrán en cuenta en la declaración ordinaria del Impuesto sobre la Renta..."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concordancia con lo anterior, el artículo 2° del Decreto Reglamentario 0099 de 2013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"Artículo 2°. Depuración de la base del cálculo de retención.</w:t>
      </w:r>
      <w:r w:rsidRPr="00DE3CCD">
        <w:rPr>
          <w:rFonts w:ascii="Segoe UI" w:eastAsia="Times New Roman" w:hAnsi="Segoe UI" w:cs="Segoe UI"/>
          <w:i/>
          <w:iCs/>
          <w:szCs w:val="24"/>
          <w:lang w:eastAsia="es-CO"/>
        </w:rPr>
        <w:t xml:space="preserve"> Para obtener la base del cálculo de la retención en la fuente prevista en el </w:t>
      </w:r>
      <w:hyperlink r:id="rId30" w:tooltip="Estatuto Tributario CETA" w:history="1">
        <w:r w:rsidRPr="00DE3CCD">
          <w:rPr>
            <w:rFonts w:ascii="Segoe UI" w:eastAsia="Times New Roman" w:hAnsi="Segoe UI" w:cs="Segoe UI"/>
            <w:i/>
            <w:iCs/>
            <w:color w:val="0000FF"/>
            <w:szCs w:val="24"/>
            <w:u w:val="single"/>
            <w:lang w:eastAsia="es-CO"/>
          </w:rPr>
          <w:t>artículo 383</w:t>
        </w:r>
      </w:hyperlink>
      <w:r w:rsidRPr="00DE3CCD">
        <w:rPr>
          <w:rFonts w:ascii="Segoe UI" w:eastAsia="Times New Roman" w:hAnsi="Segoe UI" w:cs="Segoe UI"/>
          <w:i/>
          <w:iCs/>
          <w:szCs w:val="24"/>
          <w:lang w:eastAsia="es-CO"/>
        </w:rPr>
        <w:t xml:space="preserve"> del Estatuto Tributario, podrán detraerse los pagos efectivamente realizados por los siguientes conceptos: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2. Los pagos por salud señalados en los literales a) y b) del </w:t>
      </w:r>
      <w:hyperlink r:id="rId31" w:tooltip="Estatuto Tributario CETA" w:history="1">
        <w:r w:rsidRPr="00DE3CCD">
          <w:rPr>
            <w:rFonts w:ascii="Segoe UI" w:eastAsia="Times New Roman" w:hAnsi="Segoe UI" w:cs="Segoe UI"/>
            <w:i/>
            <w:iCs/>
            <w:color w:val="0000FF"/>
            <w:szCs w:val="24"/>
            <w:u w:val="single"/>
            <w:lang w:eastAsia="es-CO"/>
          </w:rPr>
          <w:t>artículo 387</w:t>
        </w:r>
      </w:hyperlink>
      <w:r w:rsidRPr="00DE3CCD">
        <w:rPr>
          <w:rFonts w:ascii="Segoe UI" w:eastAsia="Times New Roman" w:hAnsi="Segoe UI" w:cs="Segoe UI"/>
          <w:i/>
          <w:iCs/>
          <w:szCs w:val="24"/>
          <w:lang w:eastAsia="es-CO"/>
        </w:rPr>
        <w:t xml:space="preserve"> del Estatuto Tributario, siempre que el valor a disminuir mensualmente, no supere dieciséis (16) UVT mensuales, y se cumplan las condiciones de control indicadas en las normas reglamentarias vigentes.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3. </w:t>
      </w:r>
      <w:r w:rsidRPr="00DE3CCD">
        <w:rPr>
          <w:rFonts w:ascii="Segoe UI" w:eastAsia="Times New Roman" w:hAnsi="Segoe UI" w:cs="Segoe UI"/>
          <w:i/>
          <w:iCs/>
          <w:szCs w:val="24"/>
          <w:u w:val="single"/>
          <w:lang w:eastAsia="es-CO"/>
        </w:rPr>
        <w:t>Una deducción mensual de hasta el 10% del total de los ingresos brutos provenientes de la relación laboral o legal y reglamentaria en el respectivo mes por concepto de dependientes, hasta un máximo de treinta y dos (32) UVT mensuales.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Parágrafo 1°.</w:t>
      </w:r>
      <w:r w:rsidRPr="00DE3CCD">
        <w:rPr>
          <w:rFonts w:ascii="Segoe UI" w:eastAsia="Times New Roman" w:hAnsi="Segoe UI" w:cs="Segoe UI"/>
          <w:i/>
          <w:iCs/>
          <w:szCs w:val="24"/>
          <w:u w:val="single"/>
          <w:lang w:eastAsia="es-CO"/>
        </w:rPr>
        <w:t xml:space="preserve"> Los factores de detracción de la base del cálculo de la retención previstos en este artículo podrán deducirse en la determinación del impuesto del respectivo periodo, únicamente cuando el contribuyente, en la declaración del impuesto sobre la renta, determine el impuesto sobre la renta a su cargo por el sistema ordinario de determinación.</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 xml:space="preserve">Parágrafo </w:t>
      </w:r>
      <w:r w:rsidRPr="00DE3CCD">
        <w:rPr>
          <w:rFonts w:ascii="Segoe UI" w:eastAsia="Times New Roman" w:hAnsi="Segoe UI" w:cs="Segoe UI"/>
          <w:b/>
          <w:szCs w:val="24"/>
          <w:u w:val="single"/>
          <w:lang w:eastAsia="es-CO"/>
        </w:rPr>
        <w:t>4°</w:t>
      </w:r>
      <w:r w:rsidRPr="00DE3CCD">
        <w:rPr>
          <w:rFonts w:ascii="Segoe UI" w:eastAsia="Times New Roman" w:hAnsi="Segoe UI" w:cs="Segoe UI"/>
          <w:szCs w:val="24"/>
          <w:u w:val="single"/>
          <w:lang w:eastAsia="es-CO"/>
        </w:rPr>
        <w:t xml:space="preserve">. </w:t>
      </w:r>
      <w:r w:rsidRPr="00DE3CCD">
        <w:rPr>
          <w:rFonts w:ascii="Segoe UI" w:eastAsia="Times New Roman" w:hAnsi="Segoe UI" w:cs="Segoe UI"/>
          <w:i/>
          <w:iCs/>
          <w:szCs w:val="24"/>
          <w:u w:val="single"/>
          <w:lang w:eastAsia="es-CO"/>
        </w:rPr>
        <w:t>Para efectos de probar la existencia v dependencia económica de los dependientes a que se refiere este artículo, el contribuyente suministrará al agente retenedor un certificado, que se entiende expedido bajo la gravedad del juramento, en el que indique e identifique plenamente las personas dependientes a su cargo que dan lugar al tratamiento tributario a que se refiere este artículo.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La deducción de la base de retención en la fuente por concepto de dependientes, no podrá ser solicitado por más de un contribuyente en relación con un mismo dependiente."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Así las cosas, la deducción anual por concepto de dependientes debe ser equivalente a una deducción mensual del diez por ciento (10%) de los ingresos brutos, hasta un máximo de treinta y dos (32) UVT por cada mes en que el trabajador haya tenido efectivamente a cargo personas con relación de dependencia.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3.</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Con fundamento en el Decreto 2418 de 2013 pregunta si la disminución de la tarifa aplica para la retención por concepto de transporte de personas, que es considerada como "otro ingreso tributario".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32" w:tooltip="Estatuto Tributario CETA" w:history="1">
        <w:r w:rsidRPr="00DE3CCD">
          <w:rPr>
            <w:rFonts w:ascii="Segoe UI" w:eastAsia="Times New Roman" w:hAnsi="Segoe UI" w:cs="Segoe UI"/>
            <w:color w:val="0000FF"/>
            <w:szCs w:val="24"/>
            <w:u w:val="single"/>
            <w:lang w:eastAsia="es-CO"/>
          </w:rPr>
          <w:t>artículo 401</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33" w:tooltip="Estatuto Tributario CETA" w:history="1">
        <w:r w:rsidRPr="00DE3CCD">
          <w:rPr>
            <w:rFonts w:ascii="Segoe UI" w:eastAsia="Times New Roman" w:hAnsi="Segoe UI" w:cs="Segoe UI"/>
            <w:b/>
            <w:bCs/>
            <w:i/>
            <w:iCs/>
            <w:color w:val="0000FF"/>
            <w:szCs w:val="24"/>
            <w:u w:val="single"/>
            <w:lang w:eastAsia="es-CO"/>
          </w:rPr>
          <w:t>Artículo 401</w:t>
        </w:r>
      </w:hyperlink>
      <w:r w:rsidRPr="00DE3CCD">
        <w:rPr>
          <w:rFonts w:ascii="Segoe UI" w:eastAsia="Times New Roman" w:hAnsi="Segoe UI" w:cs="Segoe UI"/>
          <w:b/>
          <w:bCs/>
          <w:i/>
          <w:iCs/>
          <w:szCs w:val="24"/>
          <w:lang w:eastAsia="es-CO"/>
        </w:rPr>
        <w:t xml:space="preserve"> . Retención sobre otros ingresos tributarios. </w:t>
      </w:r>
      <w:r w:rsidRPr="00DE3CCD">
        <w:rPr>
          <w:rFonts w:ascii="Segoe UI" w:eastAsia="Times New Roman" w:hAnsi="Segoe UI" w:cs="Segoe UI"/>
          <w:i/>
          <w:iCs/>
          <w:szCs w:val="24"/>
          <w:lang w:eastAsia="es-CO"/>
        </w:rPr>
        <w:t xml:space="preserve">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w:t>
      </w:r>
      <w:r w:rsidRPr="00DE3CCD">
        <w:rPr>
          <w:rFonts w:ascii="Segoe UI" w:eastAsia="Times New Roman" w:hAnsi="Segoe UI" w:cs="Segoe UI"/>
          <w:szCs w:val="24"/>
          <w:lang w:eastAsia="es-CO"/>
        </w:rPr>
        <w:t xml:space="preserve">y </w:t>
      </w:r>
      <w:r w:rsidRPr="00DE3CCD">
        <w:rPr>
          <w:rFonts w:ascii="Segoe UI" w:eastAsia="Times New Roman" w:hAnsi="Segoe UI" w:cs="Segoe UI"/>
          <w:i/>
          <w:iCs/>
          <w:szCs w:val="24"/>
          <w:lang w:eastAsia="es-CO"/>
        </w:rPr>
        <w:t>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Los porcentajes de retención no podrán exceder del tres punto cinco por ciento (3.5%) del respectivo pago o abono en cuenta. En los demás conceptos, enumerados en el inciso anterior, se aplicarán las disposiciones que los regulaban a la fecha de expedición de la Ley 50 de 1984.</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Sin perjuicio de lo previsto en el </w:t>
      </w:r>
      <w:hyperlink r:id="rId34" w:tooltip="Estatuto Tributario CETA" w:history="1">
        <w:r w:rsidRPr="00DE3CCD">
          <w:rPr>
            <w:rFonts w:ascii="Segoe UI" w:eastAsia="Times New Roman" w:hAnsi="Segoe UI" w:cs="Segoe UI"/>
            <w:i/>
            <w:iCs/>
            <w:color w:val="0000FF"/>
            <w:szCs w:val="24"/>
            <w:u w:val="single"/>
            <w:lang w:eastAsia="es-CO"/>
          </w:rPr>
          <w:t>artículo 398</w:t>
        </w:r>
      </w:hyperlink>
      <w:r w:rsidRPr="00DE3CCD">
        <w:rPr>
          <w:rFonts w:ascii="Segoe UI" w:eastAsia="Times New Roman" w:hAnsi="Segoe UI" w:cs="Segoe UI"/>
          <w:i/>
          <w:iCs/>
          <w:szCs w:val="24"/>
          <w:lang w:eastAsia="es-CO"/>
        </w:rPr>
        <w:t xml:space="preserve"> del Estatuto Tributario, </w:t>
      </w:r>
      <w:r w:rsidRPr="00DE3CCD">
        <w:rPr>
          <w:rFonts w:ascii="Segoe UI" w:eastAsia="Times New Roman" w:hAnsi="Segoe UI" w:cs="Segoe UI"/>
          <w:i/>
          <w:iCs/>
          <w:szCs w:val="24"/>
          <w:u w:val="single"/>
          <w:lang w:eastAsia="es-CO"/>
        </w:rPr>
        <w:t xml:space="preserve">la tarifa de retención en la fuente para los pagos </w:t>
      </w:r>
      <w:r w:rsidRPr="00DE3CCD">
        <w:rPr>
          <w:rFonts w:ascii="Segoe UI" w:eastAsia="Times New Roman" w:hAnsi="Segoe UI" w:cs="Segoe UI"/>
          <w:szCs w:val="24"/>
          <w:u w:val="single"/>
          <w:lang w:eastAsia="es-CO"/>
        </w:rPr>
        <w:t xml:space="preserve">o </w:t>
      </w:r>
      <w:r w:rsidRPr="00DE3CCD">
        <w:rPr>
          <w:rFonts w:ascii="Segoe UI" w:eastAsia="Times New Roman" w:hAnsi="Segoe UI" w:cs="Segoe UI"/>
          <w:i/>
          <w:iCs/>
          <w:szCs w:val="24"/>
          <w:u w:val="single"/>
          <w:lang w:eastAsia="es-CO"/>
        </w:rPr>
        <w:t>abonos en cuenta a que se refiere el presente artículo, percibidos por contribuyentes no obligados a presentar declaración de renta será el 3.5%.</w:t>
      </w:r>
      <w:r w:rsidRPr="00DE3CCD">
        <w:rPr>
          <w:rFonts w:ascii="Segoe UI" w:eastAsia="Times New Roman" w:hAnsi="Segoe UI" w:cs="Segoe UI"/>
          <w:i/>
          <w:iCs/>
          <w:szCs w:val="24"/>
          <w:lang w:eastAsia="es-CO"/>
        </w:rPr>
        <w:t xml:space="preserve"> En los demás conceptos enumerados en el inciso 1°. </w:t>
      </w:r>
      <w:proofErr w:type="gramStart"/>
      <w:r w:rsidRPr="00DE3CCD">
        <w:rPr>
          <w:rFonts w:ascii="Segoe UI" w:eastAsia="Times New Roman" w:hAnsi="Segoe UI" w:cs="Segoe UI"/>
          <w:i/>
          <w:iCs/>
          <w:szCs w:val="24"/>
          <w:lang w:eastAsia="es-CO"/>
        </w:rPr>
        <w:t>de</w:t>
      </w:r>
      <w:proofErr w:type="gramEnd"/>
      <w:r w:rsidRPr="00DE3CCD">
        <w:rPr>
          <w:rFonts w:ascii="Segoe UI" w:eastAsia="Times New Roman" w:hAnsi="Segoe UI" w:cs="Segoe UI"/>
          <w:i/>
          <w:iCs/>
          <w:szCs w:val="24"/>
          <w:lang w:eastAsia="es-CO"/>
        </w:rPr>
        <w:t xml:space="preserve"> este artículo, y en los casos de adquisición de bienes o productos agrícolas </w:t>
      </w:r>
      <w:r w:rsidRPr="00DE3CCD">
        <w:rPr>
          <w:rFonts w:ascii="Segoe UI" w:eastAsia="Times New Roman" w:hAnsi="Segoe UI" w:cs="Segoe UI"/>
          <w:szCs w:val="24"/>
          <w:lang w:eastAsia="es-CO"/>
        </w:rPr>
        <w:t xml:space="preserve">o </w:t>
      </w:r>
      <w:r w:rsidRPr="00DE3CCD">
        <w:rPr>
          <w:rFonts w:ascii="Segoe UI" w:eastAsia="Times New Roman" w:hAnsi="Segoe UI" w:cs="Segoe UI"/>
          <w:i/>
          <w:iCs/>
          <w:szCs w:val="24"/>
          <w:lang w:eastAsia="es-CO"/>
        </w:rPr>
        <w:t xml:space="preserve">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 su turno, el artículo 4° del Decreto Reglamentario 260 de 2001, modificado por el artículo 1° del Decreto 2418 de 2013,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"Artículo 4°. Retención en </w:t>
      </w:r>
      <w:r w:rsidRPr="00DE3CCD">
        <w:rPr>
          <w:rFonts w:ascii="Segoe UI" w:eastAsia="Times New Roman" w:hAnsi="Segoe UI" w:cs="Segoe UI"/>
          <w:b/>
          <w:i/>
          <w:iCs/>
          <w:szCs w:val="24"/>
          <w:lang w:eastAsia="es-CO"/>
        </w:rPr>
        <w:t xml:space="preserve">la </w:t>
      </w:r>
      <w:r w:rsidRPr="00DE3CCD">
        <w:rPr>
          <w:rFonts w:ascii="Segoe UI" w:eastAsia="Times New Roman" w:hAnsi="Segoe UI" w:cs="Segoe UI"/>
          <w:b/>
          <w:bCs/>
          <w:i/>
          <w:iCs/>
          <w:szCs w:val="24"/>
          <w:lang w:eastAsia="es-CO"/>
        </w:rPr>
        <w:t xml:space="preserve">fuente sobre otros ingresos. </w:t>
      </w:r>
      <w:r w:rsidRPr="00DE3CCD">
        <w:rPr>
          <w:rFonts w:ascii="Segoe UI" w:eastAsia="Times New Roman" w:hAnsi="Segoe UI" w:cs="Segoe UI"/>
          <w:i/>
          <w:iCs/>
          <w:szCs w:val="24"/>
          <w:lang w:eastAsia="es-CO"/>
        </w:rPr>
        <w:t xml:space="preserve">La tarifa de retención en la fuente a título de impuesto sobre la renta por los pagos o abonos en cuenta que por los conceptos señalados en el inciso primero del artículo </w:t>
      </w:r>
      <w:r w:rsidRPr="00DE3CCD">
        <w:rPr>
          <w:rFonts w:ascii="Segoe UI" w:eastAsia="Times New Roman" w:hAnsi="Segoe UI" w:cs="Segoe UI"/>
          <w:szCs w:val="24"/>
          <w:lang w:eastAsia="es-CO"/>
        </w:rPr>
        <w:t xml:space="preserve">5° </w:t>
      </w:r>
      <w:r w:rsidRPr="00DE3CCD">
        <w:rPr>
          <w:rFonts w:ascii="Segoe UI" w:eastAsia="Times New Roman" w:hAnsi="Segoe UI" w:cs="Segoe UI"/>
          <w:i/>
          <w:iCs/>
          <w:szCs w:val="24"/>
          <w:lang w:eastAsia="es-CO"/>
        </w:rPr>
        <w:t>del Decreto número 1512 de 1985 efectúen las personas jurídicas, las sociedades de hecho y las demás entidades y personas naturales que tengan la calidad de agentes retenedores, es el dos punto cinco por ciento (2.5%).</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Los pagos o abonos en cuenta que correspondan a estos conceptos, para los cuales existan tarifas de retención en la fuente, señaladas en disposiciones especiales, seguirán rigiéndose por dichas tarifas.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Al respecto, cabe recordar que con fundamento en el artículo 5° del Decreto Reglamentario 1512 de 1985 y en el artículo 4° del Decreto Reglamentario 260 de 2001, la División de Doctrina Tributaria, en el Concepto No. 068798 del 30 de julio de 2001, señaló:</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"Respecto a la tarifa de retención en la fuente que se debe aplicar al servicio de transporte de pasajeros,</w:t>
      </w:r>
      <w:r w:rsidRPr="00DE3CCD">
        <w:rPr>
          <w:rFonts w:ascii="Segoe UI" w:eastAsia="Times New Roman" w:hAnsi="Segoe UI" w:cs="Segoe UI"/>
          <w:i/>
          <w:iCs/>
          <w:szCs w:val="24"/>
          <w:lang w:eastAsia="es-CO"/>
        </w:rPr>
        <w:t xml:space="preserve"> este Despacho mediante los conceptos Nos: 44240 y 58985 de 1999 se pronunció sobre el tema manifestando que las personas jurídicas, sociedades de hecho o personas naturales que tengan la calidad de agentes retenedores que sean usuarios de una empresa transportadora de pasajeros, deberán efectuar retención en la fuente de la empresa transportadora </w:t>
      </w:r>
      <w:r w:rsidRPr="00DE3CCD">
        <w:rPr>
          <w:rFonts w:ascii="Segoe UI" w:eastAsia="Times New Roman" w:hAnsi="Segoe UI" w:cs="Segoe UI"/>
          <w:szCs w:val="24"/>
          <w:u w:val="single"/>
          <w:lang w:eastAsia="es-CO"/>
        </w:rPr>
        <w:t xml:space="preserve">a </w:t>
      </w:r>
      <w:r w:rsidRPr="00DE3CCD">
        <w:rPr>
          <w:rFonts w:ascii="Segoe UI" w:eastAsia="Times New Roman" w:hAnsi="Segoe UI" w:cs="Segoe UI"/>
          <w:i/>
          <w:iCs/>
          <w:szCs w:val="24"/>
          <w:u w:val="single"/>
          <w:lang w:eastAsia="es-CO"/>
        </w:rPr>
        <w:t>la tarifa del 3,5% por concepto de otros ingresos de conformidad con el artículo 18 de la ley 633 de 2000."</w:t>
      </w: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este orden de ideas, la tarifa de retención en la fuente establecida en el artículo 4° del Decreto 260 de 2001, modificado por el artículo 1° del Decreto 2418 de 2013, es aplicable a los pagos o abonos en cuenta por concepto de prestación de servicio de transporte de personas, con excepción de los percibidos por contribuyentes no obligados a presentar declaración de renta caso en el cual es del tres punto cinco por ciento (3.5%).</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4.1.</w:t>
      </w:r>
      <w:r w:rsidRPr="00DE3CCD">
        <w:rPr>
          <w:rFonts w:ascii="Segoe UI" w:eastAsia="Times New Roman" w:hAnsi="Segoe UI" w:cs="Segoe UI"/>
          <w:szCs w:val="24"/>
          <w:lang w:eastAsia="es-CO"/>
        </w:rPr>
        <w:t xml:space="preserve"> Con fundamento en el oficio No. 054801 del 2 de septiembre de 2013 consulta para el caso del comodato cómo se establece el valor que constituye ganancia ocasional anual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35" w:tooltip="Estatuto Tributario CETA" w:history="1">
        <w:r w:rsidRPr="00DE3CCD">
          <w:rPr>
            <w:rFonts w:ascii="Segoe UI" w:eastAsia="Times New Roman" w:hAnsi="Segoe UI" w:cs="Segoe UI"/>
            <w:color w:val="0000FF"/>
            <w:szCs w:val="24"/>
            <w:u w:val="single"/>
            <w:lang w:eastAsia="es-CO"/>
          </w:rPr>
          <w:t>artículo 302</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w:t>
      </w:r>
      <w:hyperlink r:id="rId36" w:tooltip="Estatuto Tributario CETA" w:history="1">
        <w:r w:rsidRPr="00DE3CCD">
          <w:rPr>
            <w:rFonts w:ascii="Segoe UI" w:eastAsia="Times New Roman" w:hAnsi="Segoe UI" w:cs="Segoe UI"/>
            <w:b/>
            <w:i/>
            <w:iCs/>
            <w:color w:val="0000FF"/>
            <w:szCs w:val="24"/>
            <w:u w:val="single"/>
            <w:lang w:eastAsia="es-CO"/>
          </w:rPr>
          <w:t>Artículo 302</w:t>
        </w:r>
      </w:hyperlink>
      <w:r w:rsidRPr="00DE3CCD">
        <w:rPr>
          <w:rFonts w:ascii="Segoe UI" w:eastAsia="Times New Roman" w:hAnsi="Segoe UI" w:cs="Segoe UI"/>
          <w:b/>
          <w:i/>
          <w:iCs/>
          <w:szCs w:val="24"/>
          <w:lang w:eastAsia="es-CO"/>
        </w:rPr>
        <w:t xml:space="preserve"> . Origen.</w:t>
      </w:r>
      <w:r w:rsidRPr="00DE3CCD">
        <w:rPr>
          <w:rFonts w:ascii="Segoe UI" w:eastAsia="Times New Roman" w:hAnsi="Segoe UI" w:cs="Segoe UI"/>
          <w:i/>
          <w:iCs/>
          <w:szCs w:val="24"/>
          <w:lang w:eastAsia="es-CO"/>
        </w:rPr>
        <w:t xml:space="preserve"> Se consideran ganancias ocasionales para los contribuyentes sometidos a este impuesto, las provenientes de herencias, legados, donaciones, o cualquier otro acto jurídico celebrado inter vivos a título gratuito, y lo percibido como porción conyugal."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A renglón seguido, el </w:t>
      </w:r>
      <w:hyperlink r:id="rId37"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ibídem,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38" w:tooltip="Estatuto Tributario CETA" w:history="1">
        <w:r w:rsidRPr="00DE3CCD">
          <w:rPr>
            <w:rFonts w:ascii="Segoe UI" w:eastAsia="Times New Roman" w:hAnsi="Segoe UI" w:cs="Segoe UI"/>
            <w:b/>
            <w:bCs/>
            <w:i/>
            <w:iCs/>
            <w:color w:val="0000FF"/>
            <w:szCs w:val="24"/>
            <w:u w:val="single"/>
            <w:lang w:eastAsia="es-CO"/>
          </w:rPr>
          <w:t>Artículo 303</w:t>
        </w:r>
      </w:hyperlink>
      <w:r w:rsidRPr="00DE3CCD">
        <w:rPr>
          <w:rFonts w:ascii="Segoe UI" w:eastAsia="Times New Roman" w:hAnsi="Segoe UI" w:cs="Segoe UI"/>
          <w:b/>
          <w:bCs/>
          <w:i/>
          <w:iCs/>
          <w:szCs w:val="24"/>
          <w:lang w:eastAsia="es-CO"/>
        </w:rPr>
        <w:t xml:space="preserve"> . Cómo se determina su valor. </w:t>
      </w:r>
      <w:r w:rsidRPr="00DE3CCD">
        <w:rPr>
          <w:rFonts w:ascii="Segoe UI" w:eastAsia="Times New Roman" w:hAnsi="Segoe UI" w:cs="Segoe UI"/>
          <w:i/>
          <w:iCs/>
          <w:szCs w:val="24"/>
          <w:lang w:eastAsia="es-CO"/>
        </w:rPr>
        <w:t xml:space="preserve">El valor de los bienes y derechos que se tendrá en cuenta para efectos de determinar la base gravable del impuesto a las ganancias ocasionales a las que se refiere el </w:t>
      </w:r>
      <w:hyperlink r:id="rId39"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w:t>
      </w:r>
      <w:r w:rsidRPr="00DE3CCD">
        <w:rPr>
          <w:rFonts w:ascii="Segoe UI" w:eastAsia="Times New Roman" w:hAnsi="Segoe UI" w:cs="Segoe UI"/>
          <w:i/>
          <w:iCs/>
          <w:szCs w:val="24"/>
          <w:u w:val="single"/>
          <w:lang w:eastAsia="es-CO"/>
        </w:rPr>
        <w:t>será el valor que tengan dichos bienes y derechos a 31 de diciembre del año inmediatamente anterior a la fecha</w:t>
      </w:r>
      <w:r w:rsidRPr="00DE3CCD">
        <w:rPr>
          <w:rFonts w:ascii="Segoe UI" w:eastAsia="Times New Roman" w:hAnsi="Segoe UI" w:cs="Segoe UI"/>
          <w:i/>
          <w:iCs/>
          <w:szCs w:val="24"/>
          <w:lang w:eastAsia="es-CO"/>
        </w:rPr>
        <w:t xml:space="preserve"> de la liquidación de la sucesión o </w:t>
      </w:r>
      <w:r w:rsidRPr="00DE3CCD">
        <w:rPr>
          <w:rFonts w:ascii="Segoe UI" w:eastAsia="Times New Roman" w:hAnsi="Segoe UI" w:cs="Segoe UI"/>
          <w:i/>
          <w:iCs/>
          <w:szCs w:val="24"/>
          <w:u w:val="single"/>
          <w:lang w:eastAsia="es-CO"/>
        </w:rPr>
        <w:t>del perfeccionamiento del acto de donación o del acto jurídico inter vivos celebrado a título gratuito</w:t>
      </w:r>
      <w:r w:rsidRPr="00DE3CCD">
        <w:rPr>
          <w:rFonts w:ascii="Segoe UI" w:eastAsia="Times New Roman" w:hAnsi="Segoe UI" w:cs="Segoe UI"/>
          <w:i/>
          <w:iCs/>
          <w:szCs w:val="24"/>
          <w:lang w:eastAsia="es-CO"/>
        </w:rPr>
        <w:t xml:space="preserve">, según el caso..."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Pregunta No. 4.2. Cuando en el acto no se establece el valor del usufructo, cuál será el valor del derecho de nuda propiedad</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Para la recta interpretación de la ley, el artículo 27 del Código Civil establece que </w:t>
      </w:r>
      <w:r w:rsidRPr="00DE3CCD">
        <w:rPr>
          <w:rFonts w:ascii="Segoe UI" w:eastAsia="Times New Roman" w:hAnsi="Segoe UI" w:cs="Segoe UI"/>
          <w:i/>
          <w:iCs/>
          <w:szCs w:val="24"/>
          <w:lang w:eastAsia="es-CO"/>
        </w:rPr>
        <w:t xml:space="preserve">"Cuando el sentido de la ley sea claro, no se desatenderá su tenor literal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pretexto de consultar su espíritu."</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Acudiendo a dicha regla de interpretación gramatical, debe tenerse presente que el numeral 11 del </w:t>
      </w:r>
      <w:hyperlink r:id="rId40"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 antes citado, señala expresamente: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lastRenderedPageBreak/>
        <w:t>"</w:t>
      </w:r>
      <w:hyperlink r:id="rId41" w:tooltip="Estatuto Tributario CETA" w:history="1">
        <w:r w:rsidRPr="00DE3CCD">
          <w:rPr>
            <w:rFonts w:ascii="Segoe UI" w:eastAsia="Times New Roman" w:hAnsi="Segoe UI" w:cs="Segoe UI"/>
            <w:b/>
            <w:i/>
            <w:iCs/>
            <w:color w:val="0000FF"/>
            <w:szCs w:val="24"/>
            <w:u w:val="single"/>
            <w:lang w:eastAsia="es-CO"/>
          </w:rPr>
          <w:t>Artículo 303</w:t>
        </w:r>
      </w:hyperlink>
      <w:r w:rsidRPr="00DE3CCD">
        <w:rPr>
          <w:rFonts w:ascii="Segoe UI" w:eastAsia="Times New Roman" w:hAnsi="Segoe UI" w:cs="Segoe UI"/>
          <w:b/>
          <w:i/>
          <w:iCs/>
          <w:szCs w:val="24"/>
          <w:lang w:eastAsia="es-CO"/>
        </w:rPr>
        <w:t xml:space="preserve"> . Cómo se determina su valor.</w:t>
      </w:r>
      <w:r w:rsidRPr="00DE3CCD">
        <w:rPr>
          <w:rFonts w:ascii="Segoe UI" w:eastAsia="Times New Roman" w:hAnsi="Segoe UI" w:cs="Segoe UI"/>
          <w:i/>
          <w:iCs/>
          <w:szCs w:val="24"/>
          <w:lang w:eastAsia="es-CO"/>
        </w:rPr>
        <w:t xml:space="preserve"> El valor de los bienes y derechos que se tendrá en cuenta para efectos de determinar la base gravable del impuesto a las ganancias ocasionales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 xml:space="preserve">las que se refiere el </w:t>
      </w:r>
      <w:hyperlink r:id="rId42"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será el valor que tengan dichos bienes y derechos a 31 de diciembre del año inmediatamente anterior a la fecha de la liquidación de la sucesión o del perfeccionamiento del acto de donación o del </w:t>
      </w:r>
      <w:r w:rsidRPr="00DE3CCD">
        <w:rPr>
          <w:rFonts w:ascii="Segoe UI" w:eastAsia="Times New Roman" w:hAnsi="Segoe UI" w:cs="Segoe UI"/>
          <w:i/>
          <w:iCs/>
          <w:szCs w:val="24"/>
          <w:u w:val="single"/>
          <w:lang w:eastAsia="es-CO"/>
        </w:rPr>
        <w:t>acto jurídico ínter vivos celebrado a título gratuito</w:t>
      </w:r>
      <w:r w:rsidRPr="00DE3CCD">
        <w:rPr>
          <w:rFonts w:ascii="Segoe UI" w:eastAsia="Times New Roman" w:hAnsi="Segoe UI" w:cs="Segoe UI"/>
          <w:i/>
          <w:iCs/>
          <w:szCs w:val="24"/>
          <w:lang w:eastAsia="es-CO"/>
        </w:rPr>
        <w:t xml:space="preserve">, según el caso. </w:t>
      </w:r>
      <w:r w:rsidRPr="00DE3CCD">
        <w:rPr>
          <w:rFonts w:ascii="Segoe UI" w:eastAsia="Times New Roman" w:hAnsi="Segoe UI" w:cs="Segoe UI"/>
          <w:i/>
          <w:iCs/>
          <w:szCs w:val="24"/>
          <w:u w:val="single"/>
          <w:lang w:eastAsia="es-CO"/>
        </w:rPr>
        <w:t>En el caso de los bienes y derechos que se relacionan a continuación, el valor se determinará de conformidad con las siguientes reglas: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11. </w:t>
      </w:r>
      <w:r w:rsidRPr="00DE3CCD">
        <w:rPr>
          <w:rFonts w:ascii="Segoe UI" w:eastAsia="Times New Roman" w:hAnsi="Segoe UI" w:cs="Segoe UI"/>
          <w:i/>
          <w:iCs/>
          <w:szCs w:val="24"/>
          <w:u w:val="single"/>
          <w:lang w:eastAsia="es-CO"/>
        </w:rPr>
        <w:t>El valor del derecho de usufructo temporal se determinará</w:t>
      </w:r>
      <w:r w:rsidRPr="00DE3CCD">
        <w:rPr>
          <w:rFonts w:ascii="Segoe UI" w:eastAsia="Times New Roman" w:hAnsi="Segoe UI" w:cs="Segoe UI"/>
          <w:i/>
          <w:iCs/>
          <w:szCs w:val="24"/>
          <w:lang w:eastAsia="es-CO"/>
        </w:rPr>
        <w:t xml:space="preserve"> en proporción al valor total de los bienes entregados en usufructo, establecido de acuerdo con las disposiciones consagradas en este artículo, a razón de un 5 % de dicho valor por cada año de duración del usufructo, sin exceder del 70% del total del valor del bien. </w:t>
      </w:r>
      <w:r w:rsidRPr="00DE3CCD">
        <w:rPr>
          <w:rFonts w:ascii="Segoe UI" w:eastAsia="Times New Roman" w:hAnsi="Segoe UI" w:cs="Segoe UI"/>
          <w:i/>
          <w:iCs/>
          <w:szCs w:val="24"/>
          <w:u w:val="single"/>
          <w:lang w:eastAsia="es-CO"/>
        </w:rPr>
        <w:t>El valor del derecho de usufructo vitalicio será igual</w:t>
      </w:r>
      <w:r w:rsidRPr="00DE3CCD">
        <w:rPr>
          <w:rFonts w:ascii="Segoe UI" w:eastAsia="Times New Roman" w:hAnsi="Segoe UI" w:cs="Segoe UI"/>
          <w:i/>
          <w:iCs/>
          <w:szCs w:val="24"/>
          <w:lang w:eastAsia="es-CO"/>
        </w:rPr>
        <w:t xml:space="preserve"> al 70% del valor total de los bienes entregados en usufructo, determinado de acuerdo con las disposiciones consagradas en este artículo. </w:t>
      </w:r>
      <w:r w:rsidRPr="00DE3CCD">
        <w:rPr>
          <w:rFonts w:ascii="Segoe UI" w:eastAsia="Times New Roman" w:hAnsi="Segoe UI" w:cs="Segoe UI"/>
          <w:i/>
          <w:iCs/>
          <w:szCs w:val="24"/>
          <w:u w:val="single"/>
          <w:lang w:eastAsia="es-CO"/>
        </w:rPr>
        <w:t>El valor del derecho de nuda propiedad será la diferencia entre el valor del derecho de usufructo y el valor total de los bienes, determinado de acuerdo con las disposiciones consagradas en este artículo.</w:t>
      </w:r>
      <w:r w:rsidRPr="00DE3CCD">
        <w:rPr>
          <w:rFonts w:ascii="Segoe UI" w:eastAsia="Times New Roman" w:hAnsi="Segoe UI" w:cs="Segoe UI"/>
          <w:szCs w:val="24"/>
          <w:u w:val="single"/>
          <w:lang w:eastAsia="es-CO"/>
        </w:rPr>
        <w:t>"</w:t>
      </w:r>
      <w:r w:rsidRPr="00DE3CCD">
        <w:rPr>
          <w:rFonts w:ascii="Segoe UI" w:eastAsia="Times New Roman" w:hAnsi="Segoe UI" w:cs="Segoe UI"/>
          <w:szCs w:val="24"/>
          <w:lang w:eastAsia="es-CO"/>
        </w:rPr>
        <w:t xml:space="preserve"> (Subrayado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4.3. </w:t>
      </w:r>
      <w:r w:rsidRPr="00DE3CCD">
        <w:rPr>
          <w:rFonts w:ascii="Segoe UI" w:eastAsia="Times New Roman" w:hAnsi="Segoe UI" w:cs="Segoe UI"/>
          <w:szCs w:val="24"/>
          <w:lang w:eastAsia="es-CO"/>
        </w:rPr>
        <w:t>Si en ejercicio del derecho de usufructo, se reciben ingresos, éstos pueden ser restados del valor que constituye ganancia ocasional anual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Esta pregunta corresponde a la No. 4 del cuestionario con dieciséis preguntas radicado bajo el No. 74139 del 24 de octubre de 2013, al cual se dio respuesta mediante el Oficio No. 030117 del 19 de mayo de 2014 cuya fotocopia se anexa.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4.4.</w:t>
      </w:r>
      <w:r w:rsidRPr="00DE3CCD">
        <w:rPr>
          <w:rFonts w:ascii="Segoe UI" w:eastAsia="Times New Roman" w:hAnsi="Segoe UI" w:cs="Segoe UI"/>
          <w:szCs w:val="24"/>
          <w:lang w:eastAsia="es-CO"/>
        </w:rPr>
        <w:t xml:space="preserve"> Con fundamento en el oficio No. 054801 del 2 de septiembre de 2013, consulta si en el caso de los usufructos suscritos antes del 26 de diciembre de 2012, los años que han transcurrido hasta esa fecha, se tienen en cuenta para el cálculo del 5% anual sin exceder del 70% del valor total del bien, o si el máximo de 14 años (5% X 14 = 70%) comienzan a contar a partir de dicha fecha</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Considerando que las disposiciones en materia del impuesto sobre la renta, contenidas en la Ley 1607 de 2012, entraron a regir a partir del año gravable 2013, en el caso de los usufructos preexistentes, para efectos del conteo y del cálculo del tope del setenta por ciento (70%) al que se refiere el numeral 11 del </w:t>
      </w:r>
      <w:hyperlink r:id="rId43"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del Estatuto Tributario, el primer año es el 2013.</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4.5. </w:t>
      </w:r>
      <w:r w:rsidRPr="00DE3CCD">
        <w:rPr>
          <w:rFonts w:ascii="Segoe UI" w:eastAsia="Times New Roman" w:hAnsi="Segoe UI" w:cs="Segoe UI"/>
          <w:szCs w:val="24"/>
          <w:lang w:eastAsia="es-CO"/>
        </w:rPr>
        <w:t xml:space="preserve">Con fundamento en el oficio No. 054801 del 2 de septiembre de 2013, pregunta cuáles otros actos contempla la legislación civil y comercial como actos </w:t>
      </w:r>
      <w:proofErr w:type="spellStart"/>
      <w:r w:rsidRPr="00DE3CCD">
        <w:rPr>
          <w:rFonts w:ascii="Segoe UI" w:eastAsia="Times New Roman" w:hAnsi="Segoe UI" w:cs="Segoe UI"/>
          <w:szCs w:val="24"/>
          <w:lang w:eastAsia="es-CO"/>
        </w:rPr>
        <w:t>intervivos</w:t>
      </w:r>
      <w:proofErr w:type="spellEnd"/>
      <w:r w:rsidRPr="00DE3CCD">
        <w:rPr>
          <w:rFonts w:ascii="Segoe UI" w:eastAsia="Times New Roman" w:hAnsi="Segoe UI" w:cs="Segoe UI"/>
          <w:szCs w:val="24"/>
          <w:lang w:eastAsia="es-CO"/>
        </w:rPr>
        <w:t xml:space="preserve"> a título gratuito y cuál sería la forma de calcular la ganancia ocasional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Todos los actos de (Sic) impliquen la desmembración de la propiedad tales como el uso y habitación, las servidumbres, etc.</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lastRenderedPageBreak/>
        <w:t xml:space="preserve">En cuanto a la forma de calcular la ganancia ocasional, el </w:t>
      </w:r>
      <w:hyperlink r:id="rId44"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45" w:tooltip="Estatuto Tributario CETA" w:history="1">
        <w:r w:rsidRPr="00DE3CCD">
          <w:rPr>
            <w:rFonts w:ascii="Segoe UI" w:eastAsia="Times New Roman" w:hAnsi="Segoe UI" w:cs="Segoe UI"/>
            <w:b/>
            <w:bCs/>
            <w:i/>
            <w:iCs/>
            <w:color w:val="0000FF"/>
            <w:szCs w:val="24"/>
            <w:u w:val="single"/>
            <w:lang w:eastAsia="es-CO"/>
          </w:rPr>
          <w:t>Artículo 303</w:t>
        </w:r>
      </w:hyperlink>
      <w:r w:rsidRPr="00DE3CCD">
        <w:rPr>
          <w:rFonts w:ascii="Segoe UI" w:eastAsia="Times New Roman" w:hAnsi="Segoe UI" w:cs="Segoe UI"/>
          <w:b/>
          <w:bCs/>
          <w:i/>
          <w:iCs/>
          <w:szCs w:val="24"/>
          <w:lang w:eastAsia="es-CO"/>
        </w:rPr>
        <w:t xml:space="preserve"> . Cómo se determina su valor. </w:t>
      </w:r>
      <w:r w:rsidRPr="00DE3CCD">
        <w:rPr>
          <w:rFonts w:ascii="Segoe UI" w:eastAsia="Times New Roman" w:hAnsi="Segoe UI" w:cs="Segoe UI"/>
          <w:i/>
          <w:iCs/>
          <w:szCs w:val="24"/>
          <w:lang w:eastAsia="es-CO"/>
        </w:rPr>
        <w:t xml:space="preserve">El valor de los bienes y derechos que se tendrá en cuenta para efectos de determinar la base gravable del impuesto a las ganancias ocasionales a las que se refiere el </w:t>
      </w:r>
      <w:hyperlink r:id="rId46"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será el valor que tengan dichos bienes y derechos a 31 de diciembre del año inmediatamente anterior a la fecha de la liquidación de la sucesión o del perfeccionamiento del acto de donación o del acto jurídico Inter vivos celebrado a título gratuito, según el caso…”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4.6. </w:t>
      </w:r>
      <w:r w:rsidRPr="00DE3CCD">
        <w:rPr>
          <w:rFonts w:ascii="Segoe UI" w:eastAsia="Times New Roman" w:hAnsi="Segoe UI" w:cs="Segoe UI"/>
          <w:szCs w:val="24"/>
          <w:lang w:eastAsia="es-CO"/>
        </w:rPr>
        <w:t xml:space="preserve">Si en un acto </w:t>
      </w:r>
      <w:proofErr w:type="spellStart"/>
      <w:r w:rsidRPr="00DE3CCD">
        <w:rPr>
          <w:rFonts w:ascii="Segoe UI" w:eastAsia="Times New Roman" w:hAnsi="Segoe UI" w:cs="Segoe UI"/>
          <w:szCs w:val="24"/>
          <w:lang w:eastAsia="es-CO"/>
        </w:rPr>
        <w:t>intervivos</w:t>
      </w:r>
      <w:proofErr w:type="spellEnd"/>
      <w:r w:rsidRPr="00DE3CCD">
        <w:rPr>
          <w:rFonts w:ascii="Segoe UI" w:eastAsia="Times New Roman" w:hAnsi="Segoe UI" w:cs="Segoe UI"/>
          <w:szCs w:val="24"/>
          <w:lang w:eastAsia="es-CO"/>
        </w:rPr>
        <w:t xml:space="preserve"> se le da algún valor al usufructo, no se generaría la ganancia ocasional en los años del goce de aquel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En el caso planteado, cuando las circunstancias particulares así lo requieran, la Administración Tributaria podrá ejercer las facultades consagradas en los artículos </w:t>
      </w:r>
      <w:hyperlink r:id="rId47" w:tooltip="Estatuto Tributario CETA" w:history="1">
        <w:r w:rsidRPr="00DE3CCD">
          <w:rPr>
            <w:rFonts w:ascii="Segoe UI" w:eastAsia="Times New Roman" w:hAnsi="Segoe UI" w:cs="Segoe UI"/>
            <w:color w:val="0000FF"/>
            <w:szCs w:val="24"/>
            <w:u w:val="single"/>
            <w:lang w:eastAsia="es-CO"/>
          </w:rPr>
          <w:t>869</w:t>
        </w:r>
      </w:hyperlink>
      <w:r w:rsidRPr="00DE3CCD">
        <w:rPr>
          <w:rFonts w:ascii="Segoe UI" w:eastAsia="Times New Roman" w:hAnsi="Segoe UI" w:cs="Segoe UI"/>
          <w:szCs w:val="24"/>
          <w:lang w:eastAsia="es-CO"/>
        </w:rPr>
        <w:t xml:space="preserve">, </w:t>
      </w:r>
      <w:hyperlink r:id="rId48" w:tooltip="Estatuto Tributario CETA" w:history="1">
        <w:r w:rsidRPr="00DE3CCD">
          <w:rPr>
            <w:rFonts w:ascii="Segoe UI" w:eastAsia="Times New Roman" w:hAnsi="Segoe UI" w:cs="Segoe UI"/>
            <w:color w:val="0000FF"/>
            <w:szCs w:val="24"/>
            <w:u w:val="single"/>
            <w:lang w:eastAsia="es-CO"/>
          </w:rPr>
          <w:t>869-1</w:t>
        </w:r>
      </w:hyperlink>
      <w:r w:rsidRPr="00DE3CCD">
        <w:rPr>
          <w:rFonts w:ascii="Segoe UI" w:eastAsia="Times New Roman" w:hAnsi="Segoe UI" w:cs="Segoe UI"/>
          <w:szCs w:val="24"/>
          <w:lang w:eastAsia="es-CO"/>
        </w:rPr>
        <w:t xml:space="preserve"> y </w:t>
      </w:r>
      <w:hyperlink r:id="rId49" w:tooltip="Estatuto Tributario CETA" w:history="1">
        <w:r w:rsidRPr="00DE3CCD">
          <w:rPr>
            <w:rFonts w:ascii="Segoe UI" w:eastAsia="Times New Roman" w:hAnsi="Segoe UI" w:cs="Segoe UI"/>
            <w:color w:val="0000FF"/>
            <w:szCs w:val="24"/>
            <w:u w:val="single"/>
            <w:lang w:eastAsia="es-CO"/>
          </w:rPr>
          <w:t>869-2</w:t>
        </w:r>
      </w:hyperlink>
      <w:r w:rsidRPr="00DE3CCD">
        <w:rPr>
          <w:rFonts w:ascii="Segoe UI" w:eastAsia="Times New Roman" w:hAnsi="Segoe UI" w:cs="Segoe UI"/>
          <w:szCs w:val="24"/>
          <w:lang w:eastAsia="es-CO"/>
        </w:rPr>
        <w:t xml:space="preserve"> del Estatuto Tributario. En relación con el "Abuso en materia tributaria" consagrado por los artículos 122, 123 y 124 de la Ley 1607 de 2012, se pronunció la Dirección de Gestión Jurídica mediante Oficio No. 054120 del 29 de agosto de 2013, cuya fotocopia remitimos.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bookmarkStart w:id="0" w:name="_GoBack"/>
      <w:bookmarkEnd w:id="0"/>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Atentamente,</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b/>
          <w:szCs w:val="24"/>
          <w:lang w:eastAsia="es-CO"/>
        </w:rPr>
        <w:t>EDY ALEXANDRA FAJARDO MENDOZA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Subdirectora de Gestión Normativa y Doctrina (E)</w:t>
      </w:r>
    </w:p>
    <w:p w:rsidR="00DE3CCD" w:rsidRPr="00DE3CCD" w:rsidRDefault="00DE3CCD" w:rsidP="00DE3CCD">
      <w:pPr>
        <w:spacing w:before="100" w:beforeAutospacing="1" w:after="100" w:afterAutospacing="1" w:line="240" w:lineRule="auto"/>
        <w:jc w:val="left"/>
        <w:rPr>
          <w:rFonts w:eastAsia="Times New Roman"/>
          <w:szCs w:val="24"/>
          <w:lang w:eastAsia="es-CO"/>
        </w:rPr>
      </w:pPr>
      <w:r w:rsidRPr="00DE3CCD">
        <w:rPr>
          <w:rFonts w:eastAsia="Times New Roman"/>
          <w:szCs w:val="24"/>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CD"/>
    <w:rsid w:val="00A067C7"/>
    <w:rsid w:val="00B51D80"/>
    <w:rsid w:val="00B622E2"/>
    <w:rsid w:val="00DE3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9974" TargetMode="External"/><Relationship Id="rId18" Type="http://schemas.openxmlformats.org/officeDocument/2006/relationships/hyperlink" Target="http://www.ceta.org.co/html/vista_de_un_articulo.asp?Norma=409" TargetMode="External"/><Relationship Id="rId26" Type="http://schemas.openxmlformats.org/officeDocument/2006/relationships/hyperlink" Target="http://www.ceta.org.co/html/vista_de_un_articulo.asp?Norma=97" TargetMode="External"/><Relationship Id="rId39" Type="http://schemas.openxmlformats.org/officeDocument/2006/relationships/hyperlink" Target="http://www.ceta.org.co/html/vista_de_un_articulo.asp?Norma=379" TargetMode="External"/><Relationship Id="rId21" Type="http://schemas.openxmlformats.org/officeDocument/2006/relationships/hyperlink" Target="http://www.ceta.org.co/html/vista_de_un_articulo.asp?Norma=411" TargetMode="External"/><Relationship Id="rId34" Type="http://schemas.openxmlformats.org/officeDocument/2006/relationships/hyperlink" Target="http://www.ceta.org.co/html/vista_de_un_articulo.asp?Norma=493" TargetMode="External"/><Relationship Id="rId42" Type="http://schemas.openxmlformats.org/officeDocument/2006/relationships/hyperlink" Target="http://www.ceta.org.co/html/vista_de_un_articulo.asp?Norma=379" TargetMode="External"/><Relationship Id="rId47" Type="http://schemas.openxmlformats.org/officeDocument/2006/relationships/hyperlink" Target="http://www.ceta.org.co/html/vista_de_un_articulo.asp?Norma=1080" TargetMode="External"/><Relationship Id="rId50" Type="http://schemas.openxmlformats.org/officeDocument/2006/relationships/fontTable" Target="fontTable.xml"/><Relationship Id="rId7" Type="http://schemas.openxmlformats.org/officeDocument/2006/relationships/hyperlink" Target="http://www.ceta.org.co/html/vista_de_un_articulo.asp?Norma=40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0" TargetMode="External"/><Relationship Id="rId29" Type="http://schemas.openxmlformats.org/officeDocument/2006/relationships/hyperlink" Target="http://www.ceta.org.co/html/vista_de_un_articulo.asp?Norma=480" TargetMode="External"/><Relationship Id="rId11" Type="http://schemas.openxmlformats.org/officeDocument/2006/relationships/hyperlink" Target="http://www.ceta.org.co/html/vista_de_un_articulo.asp?Norma=1080" TargetMode="External"/><Relationship Id="rId24" Type="http://schemas.openxmlformats.org/officeDocument/2006/relationships/hyperlink" Target="http://www.ceta.org.co/html/vista_de_un_articulo.asp?Norma=81" TargetMode="External"/><Relationship Id="rId32" Type="http://schemas.openxmlformats.org/officeDocument/2006/relationships/hyperlink" Target="http://www.ceta.org.co/html/vista_de_un_articulo.asp?Norma=496" TargetMode="External"/><Relationship Id="rId37" Type="http://schemas.openxmlformats.org/officeDocument/2006/relationships/hyperlink" Target="http://www.ceta.org.co/html/vista_de_un_articulo.asp?Norma=380" TargetMode="External"/><Relationship Id="rId40" Type="http://schemas.openxmlformats.org/officeDocument/2006/relationships/hyperlink" Target="http://www.ceta.org.co/html/vista_de_un_articulo.asp?Norma=380" TargetMode="External"/><Relationship Id="rId45" Type="http://schemas.openxmlformats.org/officeDocument/2006/relationships/hyperlink" Target="http://www.ceta.org.co/html/vista_de_un_articulo.asp?Norma=380" TargetMode="External"/><Relationship Id="rId5" Type="http://schemas.openxmlformats.org/officeDocument/2006/relationships/hyperlink" Target="http://www.ceta.org.co/html/vista_de_un_articulo.asp?Norma=379"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88" TargetMode="External"/><Relationship Id="rId28" Type="http://schemas.openxmlformats.org/officeDocument/2006/relationships/hyperlink" Target="http://www.ceta.org.co/html/vista_de_un_articulo.asp?Norma=480" TargetMode="External"/><Relationship Id="rId36" Type="http://schemas.openxmlformats.org/officeDocument/2006/relationships/hyperlink" Target="http://www.ceta.org.co/html/vista_de_un_articulo.asp?Norma=379" TargetMode="External"/><Relationship Id="rId49" Type="http://schemas.openxmlformats.org/officeDocument/2006/relationships/hyperlink" Target="http://www.ceta.org.co/html/vista_de_un_articulo.asp?Norma=29974" TargetMode="External"/><Relationship Id="rId10" Type="http://schemas.openxmlformats.org/officeDocument/2006/relationships/hyperlink" Target="http://www.ceta.org.co/html/vista_de_un_articulo.asp?Norma=496" TargetMode="External"/><Relationship Id="rId19" Type="http://schemas.openxmlformats.org/officeDocument/2006/relationships/hyperlink" Target="http://www.ceta.org.co/html/vista_de_un_articulo.asp?Norma=411" TargetMode="External"/><Relationship Id="rId31" Type="http://schemas.openxmlformats.org/officeDocument/2006/relationships/hyperlink" Target="http://www.ceta.org.co/html/vista_de_un_articulo.asp?Norma=480" TargetMode="External"/><Relationship Id="rId44" Type="http://schemas.openxmlformats.org/officeDocument/2006/relationships/hyperlink" Target="http://www.ceta.org.co/html/vista_de_un_articulo.asp?Norma=38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80" TargetMode="External"/><Relationship Id="rId14" Type="http://schemas.openxmlformats.org/officeDocument/2006/relationships/hyperlink" Target="http://www.ceta.org.co/html/vista_de_un_articulo.asp?Norma=272" TargetMode="External"/><Relationship Id="rId22" Type="http://schemas.openxmlformats.org/officeDocument/2006/relationships/hyperlink" Target="http://www.ceta.org.co/html/vista_de_un_articulo.asp?Norma=87" TargetMode="External"/><Relationship Id="rId27" Type="http://schemas.openxmlformats.org/officeDocument/2006/relationships/hyperlink" Target="http://www.ceta.org.co/html/vista_de_un_articulo.asp?Norma=411"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379" TargetMode="External"/><Relationship Id="rId43" Type="http://schemas.openxmlformats.org/officeDocument/2006/relationships/hyperlink" Target="http://www.ceta.org.co/html/vista_de_un_articulo.asp?Norma=380" TargetMode="External"/><Relationship Id="rId48" Type="http://schemas.openxmlformats.org/officeDocument/2006/relationships/hyperlink" Target="http://www.ceta.org.co/html/vista_de_un_articulo.asp?Norma=29973" TargetMode="External"/><Relationship Id="rId8" Type="http://schemas.openxmlformats.org/officeDocument/2006/relationships/hyperlink" Target="http://www.ceta.org.co/html/vista_de_un_articulo.asp?Norma=411"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eta.org.co/html/vista_de_un_articulo.asp?Norma=29973" TargetMode="External"/><Relationship Id="rId17" Type="http://schemas.openxmlformats.org/officeDocument/2006/relationships/hyperlink" Target="http://www.ceta.org.co/html/vista_de_un_articulo.asp?Norma=480" TargetMode="External"/><Relationship Id="rId25" Type="http://schemas.openxmlformats.org/officeDocument/2006/relationships/hyperlink" Target="http://www.ceta.org.co/html/vista_de_un_articulo.asp?Norma=272" TargetMode="External"/><Relationship Id="rId33" Type="http://schemas.openxmlformats.org/officeDocument/2006/relationships/hyperlink" Target="http://www.ceta.org.co/html/vista_de_un_articulo.asp?Norma=496" TargetMode="External"/><Relationship Id="rId38" Type="http://schemas.openxmlformats.org/officeDocument/2006/relationships/hyperlink" Target="http://www.ceta.org.co/html/vista_de_un_articulo.asp?Norma=380" TargetMode="External"/><Relationship Id="rId46" Type="http://schemas.openxmlformats.org/officeDocument/2006/relationships/hyperlink" Target="http://www.ceta.org.co/html/vista_de_un_articulo.asp?Norma=379" TargetMode="External"/><Relationship Id="rId20" Type="http://schemas.openxmlformats.org/officeDocument/2006/relationships/hyperlink" Target="http://www.ceta.org.co/html/vista_de_un_articulo.asp?Norma=409" TargetMode="External"/><Relationship Id="rId41" Type="http://schemas.openxmlformats.org/officeDocument/2006/relationships/hyperlink" Target="http://www.ceta.org.co/html/vista_de_un_articulo.asp?Norma=380" TargetMode="External"/><Relationship Id="rId1" Type="http://schemas.openxmlformats.org/officeDocument/2006/relationships/styles" Target="styles.xml"/><Relationship Id="rId6" Type="http://schemas.openxmlformats.org/officeDocument/2006/relationships/hyperlink" Target="http://www.ceta.org.co/html/vista_de_un_articulo.asp?Norma=3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4094</Words>
  <Characters>22522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2014-07-05T00:02:00Z</dcterms:created>
  <dcterms:modified xsi:type="dcterms:W3CDTF">2015-01-08T23:06:00Z</dcterms:modified>
</cp:coreProperties>
</file>